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A809" w14:textId="77777777" w:rsidR="00207980" w:rsidRPr="00207980" w:rsidRDefault="001A3970" w:rsidP="00207980">
      <w:pPr>
        <w:spacing w:after="0" w:line="240" w:lineRule="auto"/>
        <w:jc w:val="center"/>
        <w:rPr>
          <w:b/>
          <w:sz w:val="20"/>
        </w:rPr>
      </w:pPr>
      <w:r w:rsidRPr="001A3970">
        <w:rPr>
          <w:rFonts w:ascii="Bookman Old Style" w:hAnsi="Bookman Old Style"/>
          <w:b/>
          <w:noProof/>
          <w:sz w:val="10"/>
        </w:rPr>
        <w:drawing>
          <wp:anchor distT="0" distB="0" distL="114300" distR="114300" simplePos="0" relativeHeight="251658240" behindDoc="1" locked="0" layoutInCell="1" allowOverlap="1" wp14:anchorId="63AB7164" wp14:editId="45B37953">
            <wp:simplePos x="0" y="0"/>
            <wp:positionH relativeFrom="column">
              <wp:posOffset>4524530</wp:posOffset>
            </wp:positionH>
            <wp:positionV relativeFrom="paragraph">
              <wp:posOffset>527</wp:posOffset>
            </wp:positionV>
            <wp:extent cx="1582420" cy="562610"/>
            <wp:effectExtent l="0" t="0" r="0" b="8890"/>
            <wp:wrapTight wrapText="bothSides">
              <wp:wrapPolygon edited="0">
                <wp:start x="0" y="0"/>
                <wp:lineTo x="0" y="21210"/>
                <wp:lineTo x="21323" y="21210"/>
                <wp:lineTo x="21323" y="0"/>
                <wp:lineTo x="0" y="0"/>
              </wp:wrapPolygon>
            </wp:wrapTight>
            <wp:docPr id="1" name="Picture 1" descr="H:\Crests - letterhead\New Logo's\official letterhea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rests - letterhead\New Logo's\official letterhead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B32BA" w14:textId="77777777" w:rsidR="00363DD1" w:rsidRDefault="00363DD1" w:rsidP="00207980">
      <w:pPr>
        <w:spacing w:after="0" w:line="240" w:lineRule="auto"/>
        <w:jc w:val="center"/>
        <w:rPr>
          <w:b/>
          <w:sz w:val="32"/>
        </w:rPr>
      </w:pPr>
    </w:p>
    <w:p w14:paraId="74235A80" w14:textId="69318E4A" w:rsidR="00207980" w:rsidRPr="00207980" w:rsidRDefault="00207980" w:rsidP="00363DD1">
      <w:pPr>
        <w:spacing w:after="0" w:line="240" w:lineRule="auto"/>
        <w:ind w:left="284"/>
        <w:rPr>
          <w:b/>
          <w:sz w:val="32"/>
        </w:rPr>
      </w:pPr>
      <w:r w:rsidRPr="00207980">
        <w:rPr>
          <w:b/>
          <w:sz w:val="32"/>
        </w:rPr>
        <w:t>Job Description</w:t>
      </w:r>
    </w:p>
    <w:p w14:paraId="0B53DCCF" w14:textId="77777777" w:rsidR="00207980" w:rsidRDefault="00207980" w:rsidP="00207980">
      <w:pPr>
        <w:spacing w:after="0" w:line="240" w:lineRule="auto"/>
        <w:rPr>
          <w:b/>
        </w:rPr>
      </w:pPr>
    </w:p>
    <w:p w14:paraId="164DC49E" w14:textId="77777777" w:rsidR="00363DD1" w:rsidRDefault="00363DD1" w:rsidP="00363DD1">
      <w:pPr>
        <w:spacing w:after="0" w:line="240" w:lineRule="auto"/>
        <w:ind w:left="284"/>
        <w:rPr>
          <w:b/>
          <w:i/>
        </w:rPr>
      </w:pPr>
    </w:p>
    <w:p w14:paraId="2B4AB1DD" w14:textId="53938413" w:rsidR="005D7CE2" w:rsidRPr="00363DD1" w:rsidRDefault="00827118" w:rsidP="00363DD1">
      <w:pPr>
        <w:spacing w:after="0" w:line="240" w:lineRule="auto"/>
        <w:ind w:left="284"/>
        <w:rPr>
          <w:sz w:val="20"/>
          <w:szCs w:val="20"/>
        </w:rPr>
      </w:pPr>
      <w:r w:rsidRPr="00363DD1">
        <w:rPr>
          <w:b/>
          <w:i/>
          <w:sz w:val="20"/>
          <w:szCs w:val="20"/>
        </w:rPr>
        <w:t>Position</w:t>
      </w:r>
      <w:r w:rsidR="00207980" w:rsidRPr="00363DD1">
        <w:rPr>
          <w:i/>
          <w:sz w:val="20"/>
          <w:szCs w:val="20"/>
        </w:rPr>
        <w:t>:</w:t>
      </w:r>
      <w:r w:rsidR="005D7CE2" w:rsidRPr="00363DD1">
        <w:rPr>
          <w:sz w:val="20"/>
          <w:szCs w:val="20"/>
        </w:rPr>
        <w:tab/>
      </w:r>
      <w:r w:rsidR="005D7CE2" w:rsidRPr="00363DD1">
        <w:rPr>
          <w:sz w:val="20"/>
          <w:szCs w:val="20"/>
        </w:rPr>
        <w:tab/>
      </w:r>
      <w:r w:rsidR="005D7CE2" w:rsidRPr="00363DD1">
        <w:rPr>
          <w:b/>
          <w:sz w:val="20"/>
          <w:szCs w:val="20"/>
        </w:rPr>
        <w:t>Al</w:t>
      </w:r>
      <w:r w:rsidR="000A2120" w:rsidRPr="00363DD1">
        <w:rPr>
          <w:b/>
          <w:sz w:val="20"/>
          <w:szCs w:val="20"/>
        </w:rPr>
        <w:t>ter</w:t>
      </w:r>
      <w:r w:rsidR="00BD72A8" w:rsidRPr="00363DD1">
        <w:rPr>
          <w:b/>
          <w:sz w:val="20"/>
          <w:szCs w:val="20"/>
        </w:rPr>
        <w:t xml:space="preserve">native Education </w:t>
      </w:r>
      <w:r w:rsidR="00EC1CF4">
        <w:rPr>
          <w:b/>
          <w:sz w:val="20"/>
          <w:szCs w:val="20"/>
        </w:rPr>
        <w:t xml:space="preserve">(AE) </w:t>
      </w:r>
      <w:r w:rsidR="00915BC9" w:rsidRPr="00363DD1">
        <w:rPr>
          <w:b/>
          <w:sz w:val="20"/>
          <w:szCs w:val="20"/>
        </w:rPr>
        <w:t>Attendance</w:t>
      </w:r>
      <w:r w:rsidR="00E252E6">
        <w:rPr>
          <w:b/>
          <w:sz w:val="20"/>
          <w:szCs w:val="20"/>
        </w:rPr>
        <w:t xml:space="preserve">, </w:t>
      </w:r>
      <w:r w:rsidR="00CF7B57">
        <w:rPr>
          <w:b/>
          <w:sz w:val="20"/>
          <w:szCs w:val="20"/>
        </w:rPr>
        <w:t xml:space="preserve">Transition </w:t>
      </w:r>
      <w:r w:rsidR="00397F03">
        <w:rPr>
          <w:b/>
          <w:sz w:val="20"/>
          <w:szCs w:val="20"/>
        </w:rPr>
        <w:t>Support</w:t>
      </w:r>
      <w:r w:rsidR="00E252E6">
        <w:rPr>
          <w:b/>
          <w:sz w:val="20"/>
          <w:szCs w:val="20"/>
        </w:rPr>
        <w:t xml:space="preserve"> and Data/Num &amp; Lit Support</w:t>
      </w:r>
      <w:r w:rsidR="00207980" w:rsidRPr="00363DD1">
        <w:rPr>
          <w:b/>
          <w:sz w:val="20"/>
          <w:szCs w:val="20"/>
        </w:rPr>
        <w:br/>
      </w:r>
    </w:p>
    <w:p w14:paraId="6B963BC1" w14:textId="4925C11D" w:rsidR="00827118" w:rsidRPr="00363DD1" w:rsidRDefault="00827118" w:rsidP="00363DD1">
      <w:pPr>
        <w:spacing w:after="0" w:line="240" w:lineRule="auto"/>
        <w:ind w:left="2127" w:hanging="1843"/>
        <w:rPr>
          <w:sz w:val="20"/>
          <w:szCs w:val="20"/>
        </w:rPr>
      </w:pPr>
      <w:r w:rsidRPr="00363DD1">
        <w:rPr>
          <w:b/>
          <w:i/>
          <w:sz w:val="20"/>
          <w:szCs w:val="20"/>
        </w:rPr>
        <w:t>Responsible to</w:t>
      </w:r>
      <w:r w:rsidR="003B43D8" w:rsidRPr="00363DD1">
        <w:rPr>
          <w:sz w:val="20"/>
          <w:szCs w:val="20"/>
        </w:rPr>
        <w:t>:</w:t>
      </w:r>
      <w:r w:rsidR="005D7CE2" w:rsidRPr="00363DD1">
        <w:rPr>
          <w:sz w:val="20"/>
          <w:szCs w:val="20"/>
        </w:rPr>
        <w:tab/>
      </w:r>
      <w:r w:rsidR="00915BC9" w:rsidRPr="00363DD1">
        <w:rPr>
          <w:sz w:val="20"/>
          <w:szCs w:val="20"/>
        </w:rPr>
        <w:t>Alternative Education Manager</w:t>
      </w:r>
    </w:p>
    <w:p w14:paraId="07C9B725" w14:textId="77777777" w:rsidR="00363DD1" w:rsidRPr="00363DD1" w:rsidRDefault="00363DD1" w:rsidP="00363DD1">
      <w:pPr>
        <w:spacing w:after="0" w:line="240" w:lineRule="auto"/>
        <w:ind w:left="284"/>
        <w:rPr>
          <w:b/>
          <w:i/>
          <w:sz w:val="20"/>
          <w:szCs w:val="20"/>
        </w:rPr>
      </w:pPr>
    </w:p>
    <w:p w14:paraId="61735676" w14:textId="4A0D1953" w:rsidR="009641B5" w:rsidRDefault="00827118" w:rsidP="00363DD1">
      <w:pPr>
        <w:spacing w:after="0" w:line="240" w:lineRule="auto"/>
        <w:ind w:left="2127" w:hanging="1843"/>
        <w:rPr>
          <w:sz w:val="20"/>
          <w:szCs w:val="20"/>
        </w:rPr>
      </w:pPr>
      <w:r w:rsidRPr="00363DD1">
        <w:rPr>
          <w:b/>
          <w:i/>
          <w:sz w:val="20"/>
          <w:szCs w:val="20"/>
        </w:rPr>
        <w:t>Purpose</w:t>
      </w:r>
      <w:r w:rsidR="00207980" w:rsidRPr="00363DD1">
        <w:rPr>
          <w:i/>
          <w:sz w:val="20"/>
          <w:szCs w:val="20"/>
        </w:rPr>
        <w:t>:</w:t>
      </w:r>
      <w:r w:rsidR="005D7CE2" w:rsidRPr="00363DD1">
        <w:rPr>
          <w:i/>
          <w:sz w:val="20"/>
          <w:szCs w:val="20"/>
        </w:rPr>
        <w:tab/>
      </w:r>
      <w:r w:rsidR="005D7CE2" w:rsidRPr="00363DD1">
        <w:rPr>
          <w:sz w:val="20"/>
          <w:szCs w:val="20"/>
        </w:rPr>
        <w:t xml:space="preserve">Cashmere High School </w:t>
      </w:r>
      <w:r w:rsidR="00EC1CF4">
        <w:rPr>
          <w:sz w:val="20"/>
          <w:szCs w:val="20"/>
        </w:rPr>
        <w:t xml:space="preserve">(CHS) </w:t>
      </w:r>
      <w:r w:rsidR="005D7CE2" w:rsidRPr="00363DD1">
        <w:rPr>
          <w:sz w:val="20"/>
          <w:szCs w:val="20"/>
        </w:rPr>
        <w:t xml:space="preserve">is contracted by the Ministry of Education as the managing School to provide an Alternative Education </w:t>
      </w:r>
      <w:r w:rsidR="00EC1CF4">
        <w:rPr>
          <w:sz w:val="20"/>
          <w:szCs w:val="20"/>
        </w:rPr>
        <w:t xml:space="preserve">(AE) </w:t>
      </w:r>
      <w:r w:rsidR="005D7CE2" w:rsidRPr="00363DD1">
        <w:rPr>
          <w:sz w:val="20"/>
          <w:szCs w:val="20"/>
        </w:rPr>
        <w:t xml:space="preserve">programme for students who have </w:t>
      </w:r>
      <w:r w:rsidR="00B51354" w:rsidRPr="00363DD1">
        <w:rPr>
          <w:sz w:val="20"/>
          <w:szCs w:val="20"/>
        </w:rPr>
        <w:t xml:space="preserve">disengaged from their learning programme and typically are not attending school or not regularly enough for them to have an effective mainstream learning programme. Cashmere HS has contracted </w:t>
      </w:r>
      <w:proofErr w:type="gramStart"/>
      <w:r w:rsidR="00B51354" w:rsidRPr="00363DD1">
        <w:rPr>
          <w:sz w:val="20"/>
          <w:szCs w:val="20"/>
        </w:rPr>
        <w:t>a number of</w:t>
      </w:r>
      <w:proofErr w:type="gramEnd"/>
      <w:r w:rsidR="00B51354" w:rsidRPr="00363DD1">
        <w:rPr>
          <w:sz w:val="20"/>
          <w:szCs w:val="20"/>
        </w:rPr>
        <w:t xml:space="preserve"> A</w:t>
      </w:r>
      <w:r w:rsidR="00EC1CF4">
        <w:rPr>
          <w:sz w:val="20"/>
          <w:szCs w:val="20"/>
        </w:rPr>
        <w:t xml:space="preserve">E </w:t>
      </w:r>
      <w:r w:rsidR="00B51354" w:rsidRPr="00363DD1">
        <w:rPr>
          <w:sz w:val="20"/>
          <w:szCs w:val="20"/>
        </w:rPr>
        <w:t xml:space="preserve">providers. </w:t>
      </w:r>
    </w:p>
    <w:p w14:paraId="16D7ACC7" w14:textId="4D3D70B4" w:rsidR="000A5AAA" w:rsidRPr="000A5AAA" w:rsidRDefault="000A5AAA" w:rsidP="00BE6B5C">
      <w:pPr>
        <w:spacing w:after="0"/>
        <w:ind w:left="2127"/>
        <w:rPr>
          <w:sz w:val="20"/>
          <w:szCs w:val="20"/>
        </w:rPr>
      </w:pPr>
      <w:r w:rsidRPr="000A5AAA">
        <w:rPr>
          <w:sz w:val="20"/>
          <w:szCs w:val="20"/>
        </w:rPr>
        <w:t>To provide support for the enrolled schools</w:t>
      </w:r>
      <w:r w:rsidR="00C833B2">
        <w:rPr>
          <w:sz w:val="20"/>
          <w:szCs w:val="20"/>
        </w:rPr>
        <w:t>, the AE Management team</w:t>
      </w:r>
      <w:r w:rsidRPr="000A5AAA">
        <w:rPr>
          <w:sz w:val="20"/>
          <w:szCs w:val="20"/>
        </w:rPr>
        <w:t>, the AE Providers</w:t>
      </w:r>
      <w:r w:rsidR="00BE6B5C">
        <w:rPr>
          <w:sz w:val="20"/>
          <w:szCs w:val="20"/>
        </w:rPr>
        <w:t xml:space="preserve">, </w:t>
      </w:r>
      <w:r w:rsidRPr="000A5AAA">
        <w:rPr>
          <w:sz w:val="20"/>
          <w:szCs w:val="20"/>
        </w:rPr>
        <w:t>the whanau and the students who are transitioning into mainstream schooling, employment and Tertiary Training Courses</w:t>
      </w:r>
      <w:r w:rsidR="00073B08">
        <w:rPr>
          <w:sz w:val="20"/>
          <w:szCs w:val="20"/>
        </w:rPr>
        <w:t>.</w:t>
      </w:r>
    </w:p>
    <w:p w14:paraId="5192BE75" w14:textId="6B0C1672" w:rsidR="003B43D8" w:rsidRPr="00363DD1" w:rsidRDefault="00207980" w:rsidP="00363DD1">
      <w:pPr>
        <w:spacing w:after="0" w:line="240" w:lineRule="auto"/>
        <w:ind w:left="2127" w:hanging="1843"/>
        <w:rPr>
          <w:b/>
          <w:i/>
          <w:sz w:val="20"/>
          <w:szCs w:val="20"/>
        </w:rPr>
      </w:pPr>
      <w:r w:rsidRPr="00363DD1">
        <w:rPr>
          <w:sz w:val="20"/>
          <w:szCs w:val="20"/>
        </w:rPr>
        <w:br/>
      </w:r>
    </w:p>
    <w:p w14:paraId="64F863EB" w14:textId="42397CF8" w:rsidR="00827118" w:rsidRPr="00363DD1" w:rsidRDefault="00363DD1" w:rsidP="008D4ED6">
      <w:pPr>
        <w:spacing w:after="0" w:line="240" w:lineRule="auto"/>
        <w:ind w:left="284"/>
        <w:rPr>
          <w:sz w:val="20"/>
          <w:szCs w:val="20"/>
        </w:rPr>
      </w:pPr>
      <w:r w:rsidRPr="00363DD1">
        <w:rPr>
          <w:b/>
          <w:i/>
          <w:sz w:val="20"/>
          <w:szCs w:val="20"/>
        </w:rPr>
        <w:t>Key</w:t>
      </w:r>
      <w:r w:rsidR="00827118" w:rsidRPr="00363DD1">
        <w:rPr>
          <w:b/>
          <w:i/>
          <w:sz w:val="20"/>
          <w:szCs w:val="20"/>
        </w:rPr>
        <w:t xml:space="preserve"> Relationships</w:t>
      </w:r>
      <w:r w:rsidRPr="00363DD1">
        <w:rPr>
          <w:b/>
          <w:i/>
          <w:sz w:val="20"/>
          <w:szCs w:val="20"/>
        </w:rPr>
        <w:t xml:space="preserve">: </w:t>
      </w:r>
      <w:r w:rsidRPr="00363DD1">
        <w:rPr>
          <w:b/>
          <w:i/>
          <w:sz w:val="20"/>
          <w:szCs w:val="20"/>
        </w:rPr>
        <w:tab/>
      </w:r>
      <w:r w:rsidR="000677DE" w:rsidRPr="00363DD1">
        <w:rPr>
          <w:sz w:val="20"/>
          <w:szCs w:val="20"/>
        </w:rPr>
        <w:t>AE Pedagogy Leader and Administrator</w:t>
      </w:r>
      <w:r w:rsidR="008D4ED6">
        <w:rPr>
          <w:sz w:val="20"/>
          <w:szCs w:val="20"/>
        </w:rPr>
        <w:t xml:space="preserve">, </w:t>
      </w:r>
      <w:r w:rsidR="000677DE" w:rsidRPr="00363DD1">
        <w:rPr>
          <w:sz w:val="20"/>
          <w:szCs w:val="20"/>
        </w:rPr>
        <w:t>C</w:t>
      </w:r>
      <w:r w:rsidR="00EC1CF4">
        <w:rPr>
          <w:sz w:val="20"/>
          <w:szCs w:val="20"/>
        </w:rPr>
        <w:t>HS</w:t>
      </w:r>
      <w:r w:rsidR="000677DE" w:rsidRPr="00363DD1">
        <w:rPr>
          <w:sz w:val="20"/>
          <w:szCs w:val="20"/>
        </w:rPr>
        <w:t xml:space="preserve"> </w:t>
      </w:r>
      <w:r w:rsidR="00827118" w:rsidRPr="00363DD1">
        <w:rPr>
          <w:sz w:val="20"/>
          <w:szCs w:val="20"/>
        </w:rPr>
        <w:t xml:space="preserve">Board </w:t>
      </w:r>
      <w:r w:rsidR="000677DE" w:rsidRPr="00363DD1">
        <w:rPr>
          <w:sz w:val="20"/>
          <w:szCs w:val="20"/>
        </w:rPr>
        <w:t>of Trustees</w:t>
      </w:r>
      <w:r w:rsidR="00827118" w:rsidRPr="00363DD1">
        <w:rPr>
          <w:sz w:val="20"/>
          <w:szCs w:val="20"/>
        </w:rPr>
        <w:t xml:space="preserve"> thro</w:t>
      </w:r>
      <w:r w:rsidR="000677DE" w:rsidRPr="00363DD1">
        <w:rPr>
          <w:sz w:val="20"/>
          <w:szCs w:val="20"/>
        </w:rPr>
        <w:t xml:space="preserve">ugh the </w:t>
      </w:r>
      <w:r w:rsidR="004D59B3">
        <w:rPr>
          <w:sz w:val="20"/>
          <w:szCs w:val="20"/>
        </w:rPr>
        <w:t>P</w:t>
      </w:r>
      <w:r w:rsidR="000677DE" w:rsidRPr="00363DD1">
        <w:rPr>
          <w:sz w:val="20"/>
          <w:szCs w:val="20"/>
        </w:rPr>
        <w:t>rincipal</w:t>
      </w:r>
    </w:p>
    <w:p w14:paraId="550F8FF2" w14:textId="0727350D" w:rsidR="00B51354" w:rsidRPr="00363DD1" w:rsidRDefault="00827118" w:rsidP="00363DD1">
      <w:pPr>
        <w:spacing w:after="0" w:line="240" w:lineRule="auto"/>
        <w:ind w:left="2127"/>
        <w:rPr>
          <w:sz w:val="20"/>
          <w:szCs w:val="20"/>
        </w:rPr>
      </w:pPr>
      <w:r w:rsidRPr="00363DD1">
        <w:rPr>
          <w:sz w:val="20"/>
          <w:szCs w:val="20"/>
        </w:rPr>
        <w:t xml:space="preserve">AE </w:t>
      </w:r>
      <w:r w:rsidR="00B51354" w:rsidRPr="00363DD1">
        <w:rPr>
          <w:sz w:val="20"/>
          <w:szCs w:val="20"/>
        </w:rPr>
        <w:t>Provider managers/lead teachers</w:t>
      </w:r>
      <w:r w:rsidR="008D4ED6">
        <w:rPr>
          <w:sz w:val="20"/>
          <w:szCs w:val="20"/>
        </w:rPr>
        <w:t xml:space="preserve">, </w:t>
      </w:r>
      <w:r w:rsidR="00B51354" w:rsidRPr="00363DD1">
        <w:rPr>
          <w:sz w:val="20"/>
          <w:szCs w:val="20"/>
        </w:rPr>
        <w:t>Attendance Service</w:t>
      </w:r>
      <w:r w:rsidR="004D59B3">
        <w:rPr>
          <w:sz w:val="20"/>
          <w:szCs w:val="20"/>
        </w:rPr>
        <w:t>, Transition Support</w:t>
      </w:r>
    </w:p>
    <w:p w14:paraId="7F343817" w14:textId="0D51204D" w:rsidR="002408E9" w:rsidRDefault="00B51354" w:rsidP="00A25C0E">
      <w:pPr>
        <w:spacing w:after="0" w:line="240" w:lineRule="auto"/>
        <w:ind w:left="2127"/>
        <w:rPr>
          <w:sz w:val="20"/>
          <w:szCs w:val="20"/>
        </w:rPr>
      </w:pPr>
      <w:r w:rsidRPr="00363DD1">
        <w:rPr>
          <w:sz w:val="20"/>
          <w:szCs w:val="20"/>
        </w:rPr>
        <w:t>Family/whanau</w:t>
      </w:r>
      <w:r w:rsidR="008D4ED6">
        <w:rPr>
          <w:sz w:val="20"/>
          <w:szCs w:val="20"/>
        </w:rPr>
        <w:t xml:space="preserve">, </w:t>
      </w:r>
      <w:r w:rsidR="00073B08">
        <w:rPr>
          <w:sz w:val="20"/>
          <w:szCs w:val="20"/>
        </w:rPr>
        <w:t>Students</w:t>
      </w:r>
    </w:p>
    <w:p w14:paraId="79F871FE" w14:textId="77777777" w:rsidR="008E1889" w:rsidRDefault="008E1889" w:rsidP="00363DD1">
      <w:pPr>
        <w:spacing w:after="0" w:line="240" w:lineRule="auto"/>
        <w:ind w:left="2127"/>
        <w:rPr>
          <w:sz w:val="20"/>
          <w:szCs w:val="20"/>
        </w:rPr>
      </w:pPr>
    </w:p>
    <w:p w14:paraId="09A6D247" w14:textId="77777777" w:rsidR="008E1889" w:rsidRDefault="008E1889" w:rsidP="008E1889">
      <w:pPr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Below is a list of Key achievement areas:</w:t>
      </w:r>
    </w:p>
    <w:p w14:paraId="2971D8E4" w14:textId="77777777" w:rsidR="008E1889" w:rsidRDefault="008E1889" w:rsidP="008E1889">
      <w:pPr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A = Attendance Support</w:t>
      </w:r>
    </w:p>
    <w:p w14:paraId="470AC086" w14:textId="77777777" w:rsidR="00775BB5" w:rsidRDefault="008E1889" w:rsidP="008E1889">
      <w:pPr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B </w:t>
      </w:r>
      <w:r w:rsidR="00775BB5">
        <w:rPr>
          <w:sz w:val="20"/>
          <w:szCs w:val="20"/>
        </w:rPr>
        <w:t>= Transitions Support</w:t>
      </w:r>
    </w:p>
    <w:p w14:paraId="0B62155E" w14:textId="545A33D0" w:rsidR="00245338" w:rsidRPr="00363DD1" w:rsidRDefault="00775BB5" w:rsidP="008E1889">
      <w:pPr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G = General Support</w:t>
      </w:r>
      <w:r w:rsidR="002408E9">
        <w:rPr>
          <w:sz w:val="20"/>
          <w:szCs w:val="20"/>
        </w:rPr>
        <w:t xml:space="preserve"> (Num/Lit and Data)</w:t>
      </w:r>
      <w:r w:rsidR="003B43D8" w:rsidRPr="00363DD1">
        <w:rPr>
          <w:sz w:val="20"/>
          <w:szCs w:val="20"/>
        </w:rPr>
        <w:br/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652"/>
        <w:gridCol w:w="5590"/>
      </w:tblGrid>
      <w:tr w:rsidR="00245338" w:rsidRPr="003B43D8" w14:paraId="7881B20D" w14:textId="77777777" w:rsidTr="00363DD1">
        <w:tc>
          <w:tcPr>
            <w:tcW w:w="3652" w:type="dxa"/>
          </w:tcPr>
          <w:p w14:paraId="4CDA76E9" w14:textId="77777777" w:rsidR="00245338" w:rsidRPr="003B43D8" w:rsidRDefault="00245338" w:rsidP="00363DD1">
            <w:pPr>
              <w:spacing w:before="240" w:line="480" w:lineRule="auto"/>
              <w:rPr>
                <w:b/>
                <w:sz w:val="20"/>
              </w:rPr>
            </w:pPr>
            <w:r w:rsidRPr="003B43D8">
              <w:rPr>
                <w:b/>
                <w:sz w:val="20"/>
              </w:rPr>
              <w:t>Key achievement areas</w:t>
            </w:r>
          </w:p>
        </w:tc>
        <w:tc>
          <w:tcPr>
            <w:tcW w:w="5590" w:type="dxa"/>
          </w:tcPr>
          <w:p w14:paraId="40863A91" w14:textId="350BB2FC" w:rsidR="000677DE" w:rsidRPr="003B43D8" w:rsidRDefault="00245338" w:rsidP="00363DD1">
            <w:pPr>
              <w:spacing w:before="240" w:line="480" w:lineRule="auto"/>
              <w:rPr>
                <w:b/>
                <w:sz w:val="20"/>
              </w:rPr>
            </w:pPr>
            <w:r w:rsidRPr="003B43D8">
              <w:rPr>
                <w:b/>
                <w:sz w:val="20"/>
              </w:rPr>
              <w:t>Key deliverables/outcomes</w:t>
            </w:r>
          </w:p>
        </w:tc>
      </w:tr>
      <w:tr w:rsidR="00245338" w:rsidRPr="00363DD1" w14:paraId="47DEB0AA" w14:textId="77777777" w:rsidTr="00363DD1">
        <w:tc>
          <w:tcPr>
            <w:tcW w:w="3652" w:type="dxa"/>
          </w:tcPr>
          <w:p w14:paraId="229893B6" w14:textId="537521A2" w:rsidR="001A3970" w:rsidRPr="00363DD1" w:rsidRDefault="007627F5" w:rsidP="001A3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A1: </w:t>
            </w:r>
            <w:r w:rsidR="00363DD1" w:rsidRPr="00363DD1">
              <w:rPr>
                <w:sz w:val="20"/>
                <w:szCs w:val="20"/>
              </w:rPr>
              <w:t>Support Provider Students and personnel with student truancy matters</w:t>
            </w:r>
          </w:p>
        </w:tc>
        <w:tc>
          <w:tcPr>
            <w:tcW w:w="5590" w:type="dxa"/>
          </w:tcPr>
          <w:p w14:paraId="2DA5A4DB" w14:textId="77777777" w:rsidR="00B51354" w:rsidRPr="00363DD1" w:rsidRDefault="00B51354" w:rsidP="00B5135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489"/>
              <w:rPr>
                <w:sz w:val="20"/>
                <w:szCs w:val="20"/>
              </w:rPr>
            </w:pPr>
            <w:r w:rsidRPr="00363DD1">
              <w:rPr>
                <w:sz w:val="20"/>
                <w:szCs w:val="20"/>
              </w:rPr>
              <w:t>Discuss student truancy matters with the AE Provider Manager and staff</w:t>
            </w:r>
          </w:p>
          <w:p w14:paraId="46B22925" w14:textId="3111F755" w:rsidR="00B51354" w:rsidRPr="00363DD1" w:rsidRDefault="00B51354" w:rsidP="00B5135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489"/>
              <w:rPr>
                <w:sz w:val="20"/>
                <w:szCs w:val="20"/>
              </w:rPr>
            </w:pPr>
            <w:r w:rsidRPr="00363DD1">
              <w:rPr>
                <w:sz w:val="20"/>
                <w:szCs w:val="20"/>
              </w:rPr>
              <w:t xml:space="preserve">Collaborate with and assist the </w:t>
            </w:r>
            <w:proofErr w:type="spellStart"/>
            <w:r w:rsidR="00397F03">
              <w:rPr>
                <w:sz w:val="20"/>
                <w:szCs w:val="20"/>
              </w:rPr>
              <w:t>MoE</w:t>
            </w:r>
            <w:proofErr w:type="spellEnd"/>
            <w:r w:rsidR="00397F03">
              <w:rPr>
                <w:sz w:val="20"/>
                <w:szCs w:val="20"/>
              </w:rPr>
              <w:t xml:space="preserve"> attendance </w:t>
            </w:r>
            <w:r w:rsidR="00305BE6">
              <w:rPr>
                <w:sz w:val="20"/>
                <w:szCs w:val="20"/>
              </w:rPr>
              <w:t>team</w:t>
            </w:r>
            <w:r w:rsidRPr="00363DD1">
              <w:rPr>
                <w:sz w:val="20"/>
                <w:szCs w:val="20"/>
              </w:rPr>
              <w:t xml:space="preserve"> and AE Provider staff to develop a plan to promote the return of the truant student</w:t>
            </w:r>
          </w:p>
          <w:p w14:paraId="3BE14423" w14:textId="46D9049A" w:rsidR="00B51354" w:rsidRPr="00363DD1" w:rsidRDefault="00B51354" w:rsidP="00B5135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489"/>
              <w:rPr>
                <w:sz w:val="20"/>
                <w:szCs w:val="20"/>
              </w:rPr>
            </w:pPr>
            <w:r w:rsidRPr="00363DD1">
              <w:rPr>
                <w:sz w:val="20"/>
                <w:szCs w:val="20"/>
              </w:rPr>
              <w:t xml:space="preserve">Collaborate with family/whanau to re-engage the truant student </w:t>
            </w:r>
          </w:p>
          <w:p w14:paraId="4BFFC86F" w14:textId="77777777" w:rsidR="00B51354" w:rsidRPr="00363DD1" w:rsidRDefault="00B51354" w:rsidP="00B5135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489"/>
              <w:rPr>
                <w:sz w:val="20"/>
                <w:szCs w:val="20"/>
              </w:rPr>
            </w:pPr>
            <w:r w:rsidRPr="00363DD1">
              <w:rPr>
                <w:sz w:val="20"/>
                <w:szCs w:val="20"/>
              </w:rPr>
              <w:t>UA Referrals</w:t>
            </w:r>
          </w:p>
          <w:p w14:paraId="2EB91C5F" w14:textId="7B9D47E6" w:rsidR="00B51354" w:rsidRPr="00363DD1" w:rsidRDefault="00B51354" w:rsidP="00B5135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489"/>
              <w:rPr>
                <w:rFonts w:cs="Calibri"/>
                <w:sz w:val="20"/>
                <w:szCs w:val="20"/>
              </w:rPr>
            </w:pPr>
            <w:r w:rsidRPr="00363DD1">
              <w:rPr>
                <w:rFonts w:cs="Calibri"/>
                <w:sz w:val="20"/>
                <w:szCs w:val="20"/>
              </w:rPr>
              <w:t>Comparative truancy data will be favourable.</w:t>
            </w:r>
          </w:p>
          <w:p w14:paraId="7A5271A5" w14:textId="77777777" w:rsidR="001A3970" w:rsidRPr="00363DD1" w:rsidRDefault="001A3970" w:rsidP="00B51354">
            <w:pPr>
              <w:pStyle w:val="ListParagraph"/>
              <w:ind w:left="489"/>
              <w:rPr>
                <w:sz w:val="20"/>
                <w:szCs w:val="20"/>
              </w:rPr>
            </w:pPr>
          </w:p>
        </w:tc>
      </w:tr>
      <w:tr w:rsidR="00245338" w:rsidRPr="00363DD1" w14:paraId="61B02FF2" w14:textId="77777777" w:rsidTr="00363DD1">
        <w:tc>
          <w:tcPr>
            <w:tcW w:w="3652" w:type="dxa"/>
          </w:tcPr>
          <w:p w14:paraId="0D8D3074" w14:textId="0CBEE057" w:rsidR="00245338" w:rsidRPr="00363DD1" w:rsidRDefault="007627F5" w:rsidP="00207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305BE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: </w:t>
            </w:r>
            <w:r w:rsidR="00B51354" w:rsidRPr="00363DD1">
              <w:rPr>
                <w:sz w:val="20"/>
                <w:szCs w:val="20"/>
              </w:rPr>
              <w:t>Provide administration support for the Alternative Education team</w:t>
            </w:r>
          </w:p>
          <w:p w14:paraId="1731A6E3" w14:textId="049970E8" w:rsidR="00B51354" w:rsidRPr="00363DD1" w:rsidRDefault="00B51354" w:rsidP="00207980">
            <w:pPr>
              <w:rPr>
                <w:sz w:val="20"/>
                <w:szCs w:val="20"/>
              </w:rPr>
            </w:pPr>
          </w:p>
        </w:tc>
        <w:tc>
          <w:tcPr>
            <w:tcW w:w="5590" w:type="dxa"/>
          </w:tcPr>
          <w:p w14:paraId="75EF639A" w14:textId="77777777" w:rsidR="00363DD1" w:rsidRPr="00363DD1" w:rsidRDefault="00363DD1" w:rsidP="00363DD1">
            <w:pPr>
              <w:pStyle w:val="ListParagraph"/>
              <w:numPr>
                <w:ilvl w:val="0"/>
                <w:numId w:val="12"/>
              </w:numPr>
              <w:ind w:left="489"/>
              <w:rPr>
                <w:rFonts w:cs="Arial"/>
                <w:sz w:val="20"/>
                <w:szCs w:val="20"/>
              </w:rPr>
            </w:pPr>
            <w:r w:rsidRPr="00363DD1">
              <w:rPr>
                <w:rFonts w:cs="Arial"/>
                <w:sz w:val="20"/>
                <w:szCs w:val="20"/>
              </w:rPr>
              <w:t>Ensure monthly attendance report is completed.</w:t>
            </w:r>
          </w:p>
          <w:p w14:paraId="00BDAC61" w14:textId="77777777" w:rsidR="00363DD1" w:rsidRPr="00363DD1" w:rsidRDefault="00363DD1" w:rsidP="00363DD1">
            <w:pPr>
              <w:pStyle w:val="ListParagraph"/>
              <w:numPr>
                <w:ilvl w:val="0"/>
                <w:numId w:val="12"/>
              </w:numPr>
              <w:ind w:left="489"/>
              <w:rPr>
                <w:rFonts w:cs="Arial"/>
                <w:sz w:val="20"/>
                <w:szCs w:val="20"/>
              </w:rPr>
            </w:pPr>
            <w:r w:rsidRPr="00363DD1">
              <w:rPr>
                <w:rFonts w:cs="Arial"/>
                <w:sz w:val="20"/>
                <w:szCs w:val="20"/>
              </w:rPr>
              <w:t>Set up weekly attendance form for providers.</w:t>
            </w:r>
          </w:p>
          <w:p w14:paraId="0FCDB547" w14:textId="06B24996" w:rsidR="00363DD1" w:rsidRPr="00363DD1" w:rsidRDefault="00363DD1" w:rsidP="00363DD1">
            <w:pPr>
              <w:pStyle w:val="ListParagraph"/>
              <w:ind w:left="489"/>
              <w:rPr>
                <w:rFonts w:cs="Arial"/>
                <w:sz w:val="20"/>
                <w:szCs w:val="20"/>
              </w:rPr>
            </w:pPr>
          </w:p>
        </w:tc>
      </w:tr>
      <w:tr w:rsidR="008F443D" w:rsidRPr="00363DD1" w14:paraId="15F3EA46" w14:textId="77777777" w:rsidTr="00363DD1">
        <w:tc>
          <w:tcPr>
            <w:tcW w:w="3652" w:type="dxa"/>
          </w:tcPr>
          <w:p w14:paraId="4574F503" w14:textId="330EF0C4" w:rsidR="008F443D" w:rsidRDefault="008F443D" w:rsidP="00207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T1: Provide support for AE Providers and students who are transitioning</w:t>
            </w:r>
          </w:p>
        </w:tc>
        <w:tc>
          <w:tcPr>
            <w:tcW w:w="5590" w:type="dxa"/>
          </w:tcPr>
          <w:p w14:paraId="2F95F71D" w14:textId="77777777" w:rsidR="008F443D" w:rsidRPr="00F713C7" w:rsidRDefault="008F443D" w:rsidP="008F44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96" w:hanging="425"/>
              <w:rPr>
                <w:sz w:val="20"/>
                <w:szCs w:val="20"/>
              </w:rPr>
            </w:pPr>
            <w:r w:rsidRPr="00F713C7">
              <w:rPr>
                <w:sz w:val="20"/>
                <w:szCs w:val="20"/>
              </w:rPr>
              <w:t xml:space="preserve">Work independently within the Whanau (AE) programmes with the students and staff to develop transitioning plans. (ensuring all students in AE have a transition plan at age 15.6 years) </w:t>
            </w:r>
          </w:p>
          <w:p w14:paraId="2735F338" w14:textId="64F1BB7F" w:rsidR="008F443D" w:rsidRPr="00F713C7" w:rsidRDefault="008F443D" w:rsidP="008F44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96" w:hanging="425"/>
              <w:rPr>
                <w:sz w:val="20"/>
                <w:szCs w:val="20"/>
              </w:rPr>
            </w:pPr>
            <w:r w:rsidRPr="00F713C7">
              <w:rPr>
                <w:sz w:val="20"/>
                <w:szCs w:val="20"/>
              </w:rPr>
              <w:t xml:space="preserve">Arrange student placement </w:t>
            </w:r>
            <w:r w:rsidR="0027512B" w:rsidRPr="00F713C7">
              <w:rPr>
                <w:sz w:val="20"/>
                <w:szCs w:val="20"/>
              </w:rPr>
              <w:t>into schooling</w:t>
            </w:r>
            <w:r w:rsidRPr="00F713C7">
              <w:rPr>
                <w:sz w:val="20"/>
                <w:szCs w:val="20"/>
              </w:rPr>
              <w:t>, employment and Tertiary Training Courses as appropriate.</w:t>
            </w:r>
          </w:p>
          <w:p w14:paraId="5BC08375" w14:textId="77777777" w:rsidR="008F443D" w:rsidRPr="00F713C7" w:rsidRDefault="008F443D" w:rsidP="008F44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96" w:hanging="425"/>
              <w:rPr>
                <w:sz w:val="20"/>
                <w:szCs w:val="20"/>
              </w:rPr>
            </w:pPr>
            <w:r w:rsidRPr="00F713C7">
              <w:rPr>
                <w:sz w:val="20"/>
                <w:szCs w:val="20"/>
              </w:rPr>
              <w:t>Keep a record of engagement and inform all through the AE Database</w:t>
            </w:r>
          </w:p>
          <w:p w14:paraId="038010B9" w14:textId="77777777" w:rsidR="008F443D" w:rsidRPr="00F713C7" w:rsidRDefault="008F443D" w:rsidP="008F44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96" w:hanging="425"/>
              <w:rPr>
                <w:sz w:val="20"/>
                <w:szCs w:val="20"/>
              </w:rPr>
            </w:pPr>
            <w:r w:rsidRPr="00F713C7">
              <w:rPr>
                <w:sz w:val="20"/>
                <w:szCs w:val="20"/>
              </w:rPr>
              <w:t>Liaise with whanau, school, tertiary providers and students to complete the ELX (Early Leaving Exemption) for students transitioning into the tertiary environment who are not yet 16 years of age.</w:t>
            </w:r>
          </w:p>
          <w:p w14:paraId="630E4E4A" w14:textId="77777777" w:rsidR="008F443D" w:rsidRPr="00F713C7" w:rsidRDefault="008F443D" w:rsidP="008F44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96" w:hanging="425"/>
              <w:rPr>
                <w:sz w:val="20"/>
                <w:szCs w:val="20"/>
              </w:rPr>
            </w:pPr>
            <w:r w:rsidRPr="00F713C7">
              <w:rPr>
                <w:sz w:val="20"/>
                <w:szCs w:val="20"/>
              </w:rPr>
              <w:t>Share information with the Alternative Education Manager.</w:t>
            </w:r>
          </w:p>
          <w:p w14:paraId="36DE58DB" w14:textId="77777777" w:rsidR="008F443D" w:rsidRPr="00F713C7" w:rsidRDefault="008F443D" w:rsidP="008F44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96" w:hanging="425"/>
              <w:rPr>
                <w:sz w:val="20"/>
                <w:szCs w:val="20"/>
              </w:rPr>
            </w:pPr>
            <w:r w:rsidRPr="00F713C7">
              <w:rPr>
                <w:sz w:val="20"/>
                <w:szCs w:val="20"/>
              </w:rPr>
              <w:lastRenderedPageBreak/>
              <w:t xml:space="preserve">Organise a Transition Day at a Tertiary Provider where students are encouraged to discuss, share ideas and experience options to develop their transition plans. </w:t>
            </w:r>
          </w:p>
          <w:p w14:paraId="0B039996" w14:textId="77777777" w:rsidR="008F443D" w:rsidRPr="00F713C7" w:rsidRDefault="008F443D" w:rsidP="008F44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96" w:hanging="425"/>
              <w:rPr>
                <w:sz w:val="20"/>
                <w:szCs w:val="20"/>
              </w:rPr>
            </w:pPr>
            <w:r w:rsidRPr="00F713C7">
              <w:rPr>
                <w:sz w:val="20"/>
                <w:szCs w:val="20"/>
              </w:rPr>
              <w:t>Create opportunities for students to experience work placement within the chosen interest of the student. (see Appendices A18 – About Work Experience)</w:t>
            </w:r>
          </w:p>
          <w:p w14:paraId="2427C2AC" w14:textId="77777777" w:rsidR="008F443D" w:rsidRPr="00F713C7" w:rsidRDefault="008F443D" w:rsidP="008F44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96" w:hanging="425"/>
              <w:rPr>
                <w:sz w:val="20"/>
                <w:szCs w:val="20"/>
              </w:rPr>
            </w:pPr>
            <w:r w:rsidRPr="00F713C7">
              <w:rPr>
                <w:sz w:val="20"/>
                <w:szCs w:val="20"/>
              </w:rPr>
              <w:t>Complete a google doc to track the engagement of the student with tertiary organisations, schools and employment/workplace opportunities.</w:t>
            </w:r>
          </w:p>
          <w:p w14:paraId="2463F649" w14:textId="77777777" w:rsidR="008F443D" w:rsidRPr="00F713C7" w:rsidRDefault="008F443D" w:rsidP="008F44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96" w:hanging="425"/>
              <w:rPr>
                <w:sz w:val="20"/>
                <w:szCs w:val="20"/>
              </w:rPr>
            </w:pPr>
            <w:r w:rsidRPr="00F713C7">
              <w:rPr>
                <w:sz w:val="20"/>
                <w:szCs w:val="20"/>
              </w:rPr>
              <w:t>Complete a “Where are they now?” document to show the progress after AE.</w:t>
            </w:r>
          </w:p>
          <w:p w14:paraId="29EC1208" w14:textId="77777777" w:rsidR="008F443D" w:rsidRPr="00F713C7" w:rsidRDefault="008F443D" w:rsidP="008F44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96" w:hanging="425"/>
              <w:rPr>
                <w:sz w:val="20"/>
                <w:szCs w:val="20"/>
              </w:rPr>
            </w:pPr>
            <w:r w:rsidRPr="00F713C7">
              <w:rPr>
                <w:sz w:val="20"/>
                <w:szCs w:val="20"/>
              </w:rPr>
              <w:t>Report to Advisory Group in term-by-term report</w:t>
            </w:r>
            <w:r>
              <w:rPr>
                <w:sz w:val="20"/>
                <w:szCs w:val="20"/>
              </w:rPr>
              <w:t xml:space="preserve"> – in collaboration with the AE Manager</w:t>
            </w:r>
          </w:p>
          <w:p w14:paraId="32E85439" w14:textId="77777777" w:rsidR="008F443D" w:rsidRPr="00363DD1" w:rsidRDefault="008F443D" w:rsidP="00363DD1">
            <w:pPr>
              <w:pStyle w:val="ListParagraph"/>
              <w:numPr>
                <w:ilvl w:val="0"/>
                <w:numId w:val="12"/>
              </w:numPr>
              <w:ind w:left="489"/>
              <w:rPr>
                <w:rFonts w:cs="Arial"/>
                <w:sz w:val="20"/>
                <w:szCs w:val="20"/>
              </w:rPr>
            </w:pPr>
          </w:p>
        </w:tc>
      </w:tr>
      <w:tr w:rsidR="00726515" w:rsidRPr="00363DD1" w14:paraId="230BFAC6" w14:textId="77777777" w:rsidTr="00363DD1">
        <w:tc>
          <w:tcPr>
            <w:tcW w:w="3652" w:type="dxa"/>
          </w:tcPr>
          <w:p w14:paraId="18FB134A" w14:textId="1FEFCCA8" w:rsidR="00726515" w:rsidRPr="00363DD1" w:rsidRDefault="00BF57D2" w:rsidP="00207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General Tasks</w:t>
            </w:r>
          </w:p>
        </w:tc>
        <w:tc>
          <w:tcPr>
            <w:tcW w:w="5590" w:type="dxa"/>
          </w:tcPr>
          <w:p w14:paraId="614AC246" w14:textId="77777777" w:rsidR="00726515" w:rsidRDefault="00BF57D2" w:rsidP="008F44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96" w:hanging="42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 the student data update weekly</w:t>
            </w:r>
          </w:p>
          <w:p w14:paraId="6211DFEF" w14:textId="74D35FF2" w:rsidR="002408E9" w:rsidRDefault="00215FA9" w:rsidP="008F44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96" w:hanging="42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Where needed support the </w:t>
            </w:r>
            <w:r w:rsidR="00364F8C">
              <w:rPr>
                <w:rFonts w:cs="Arial"/>
                <w:sz w:val="20"/>
                <w:szCs w:val="20"/>
              </w:rPr>
              <w:t>Pedagogical Leader</w:t>
            </w:r>
            <w:r>
              <w:rPr>
                <w:rFonts w:cs="Arial"/>
                <w:sz w:val="20"/>
                <w:szCs w:val="20"/>
              </w:rPr>
              <w:t xml:space="preserve"> to complete the required Literacy and Numeracy </w:t>
            </w:r>
            <w:r w:rsidR="00364F8C">
              <w:rPr>
                <w:rFonts w:cs="Arial"/>
                <w:sz w:val="20"/>
                <w:szCs w:val="20"/>
              </w:rPr>
              <w:t>Diagnostic</w:t>
            </w:r>
            <w:r>
              <w:rPr>
                <w:rFonts w:cs="Arial"/>
                <w:sz w:val="20"/>
                <w:szCs w:val="20"/>
              </w:rPr>
              <w:t xml:space="preserve"> Assessment</w:t>
            </w:r>
          </w:p>
          <w:p w14:paraId="0D353122" w14:textId="384C10B7" w:rsidR="00364F8C" w:rsidRDefault="00364F8C" w:rsidP="008F443D">
            <w:pPr>
              <w:pStyle w:val="ListParagraph"/>
              <w:numPr>
                <w:ilvl w:val="0"/>
                <w:numId w:val="12"/>
              </w:numPr>
              <w:spacing w:line="259" w:lineRule="auto"/>
              <w:ind w:left="496" w:hanging="42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Enter the Diagnostic results into AED</w:t>
            </w:r>
          </w:p>
          <w:p w14:paraId="731FB913" w14:textId="050BCA76" w:rsidR="00BF57D2" w:rsidRPr="003B0098" w:rsidRDefault="00BF57D2" w:rsidP="003B0098">
            <w:pPr>
              <w:spacing w:line="259" w:lineRule="auto"/>
              <w:ind w:left="71"/>
              <w:rPr>
                <w:rFonts w:cs="Arial"/>
                <w:sz w:val="20"/>
                <w:szCs w:val="20"/>
              </w:rPr>
            </w:pPr>
          </w:p>
        </w:tc>
      </w:tr>
    </w:tbl>
    <w:p w14:paraId="7BA1D35C" w14:textId="21AA5BFB" w:rsidR="003B43D8" w:rsidRDefault="003B43D8" w:rsidP="008D4ED6">
      <w:pPr>
        <w:spacing w:after="0" w:line="240" w:lineRule="auto"/>
      </w:pPr>
    </w:p>
    <w:p w14:paraId="4CABFCF2" w14:textId="77777777" w:rsidR="00363DD1" w:rsidRPr="00363DD1" w:rsidRDefault="00363DD1" w:rsidP="00363DD1">
      <w:pPr>
        <w:pStyle w:val="BodyText"/>
        <w:tabs>
          <w:tab w:val="left" w:pos="1701"/>
        </w:tabs>
        <w:spacing w:after="0"/>
        <w:ind w:left="284"/>
        <w:rPr>
          <w:rFonts w:ascii="Calibri" w:hAnsi="Calibri"/>
          <w:b/>
          <w:i/>
        </w:rPr>
      </w:pPr>
      <w:r w:rsidRPr="00363DD1">
        <w:rPr>
          <w:rFonts w:ascii="Calibri" w:hAnsi="Calibri"/>
          <w:b/>
          <w:i/>
        </w:rPr>
        <w:t>Hours of Work:</w:t>
      </w:r>
    </w:p>
    <w:p w14:paraId="7D13B849" w14:textId="1460182A" w:rsidR="00363DD1" w:rsidRPr="00363DD1" w:rsidRDefault="00363DD1" w:rsidP="00363DD1">
      <w:pPr>
        <w:pStyle w:val="BodyText"/>
        <w:tabs>
          <w:tab w:val="left" w:pos="567"/>
        </w:tabs>
        <w:spacing w:after="0"/>
        <w:ind w:left="284"/>
        <w:rPr>
          <w:rFonts w:ascii="Calibri" w:hAnsi="Calibri" w:cs="Calibri"/>
          <w:b/>
          <w:u w:val="single"/>
        </w:rPr>
      </w:pPr>
      <w:r w:rsidRPr="00363DD1">
        <w:rPr>
          <w:rFonts w:ascii="Calibri" w:hAnsi="Calibri" w:cs="Calibri"/>
        </w:rPr>
        <w:t xml:space="preserve">The position is for </w:t>
      </w:r>
      <w:r w:rsidR="00364F8C">
        <w:rPr>
          <w:rFonts w:ascii="Calibri" w:hAnsi="Calibri" w:cs="Calibri"/>
        </w:rPr>
        <w:t>40</w:t>
      </w:r>
      <w:r w:rsidRPr="00363DD1">
        <w:rPr>
          <w:rFonts w:ascii="Calibri" w:hAnsi="Calibri" w:cs="Calibri"/>
        </w:rPr>
        <w:t xml:space="preserve"> hours per week</w:t>
      </w:r>
      <w:r w:rsidR="00364F8C">
        <w:rPr>
          <w:rFonts w:ascii="Calibri" w:hAnsi="Calibri" w:cs="Calibri"/>
        </w:rPr>
        <w:t>, 52 weeks of the year.</w:t>
      </w:r>
    </w:p>
    <w:p w14:paraId="7891C9B1" w14:textId="77777777" w:rsidR="00363DD1" w:rsidRPr="00363DD1" w:rsidRDefault="00363DD1" w:rsidP="00363DD1">
      <w:pPr>
        <w:pStyle w:val="BodyText"/>
        <w:tabs>
          <w:tab w:val="left" w:pos="567"/>
        </w:tabs>
        <w:spacing w:after="0"/>
        <w:ind w:left="284"/>
        <w:rPr>
          <w:rFonts w:ascii="Calibri" w:hAnsi="Calibri"/>
        </w:rPr>
      </w:pPr>
      <w:r w:rsidRPr="00363DD1">
        <w:rPr>
          <w:rFonts w:ascii="Calibri" w:hAnsi="Calibri"/>
        </w:rPr>
        <w:tab/>
      </w:r>
    </w:p>
    <w:p w14:paraId="0BF39133" w14:textId="77777777" w:rsidR="00363DD1" w:rsidRPr="00363DD1" w:rsidRDefault="00363DD1" w:rsidP="00363DD1">
      <w:pPr>
        <w:pStyle w:val="BodyText"/>
        <w:tabs>
          <w:tab w:val="left" w:pos="1701"/>
        </w:tabs>
        <w:spacing w:after="0"/>
        <w:ind w:left="284"/>
        <w:rPr>
          <w:rFonts w:ascii="Calibri" w:hAnsi="Calibri"/>
          <w:b/>
          <w:i/>
        </w:rPr>
      </w:pPr>
      <w:r w:rsidRPr="00363DD1">
        <w:rPr>
          <w:rFonts w:ascii="Calibri" w:hAnsi="Calibri"/>
          <w:b/>
          <w:i/>
        </w:rPr>
        <w:t>Terms &amp; Conditions of Employment:</w:t>
      </w:r>
    </w:p>
    <w:p w14:paraId="60671D48" w14:textId="3B6E227A" w:rsidR="008D4ED6" w:rsidRDefault="00363DD1" w:rsidP="00413908">
      <w:pPr>
        <w:pStyle w:val="BodyText"/>
        <w:tabs>
          <w:tab w:val="left" w:pos="567"/>
        </w:tabs>
        <w:spacing w:after="0"/>
        <w:ind w:left="284"/>
        <w:rPr>
          <w:rFonts w:ascii="Calibri" w:hAnsi="Calibri"/>
        </w:rPr>
      </w:pPr>
      <w:r w:rsidRPr="00363DD1">
        <w:rPr>
          <w:rFonts w:ascii="Calibri" w:hAnsi="Calibri"/>
        </w:rPr>
        <w:t xml:space="preserve">The position is covered by the Support Staff in Schools Collective Agreement (SSCA), Grade </w:t>
      </w:r>
      <w:r w:rsidR="0027512B">
        <w:rPr>
          <w:rFonts w:ascii="Calibri" w:hAnsi="Calibri"/>
        </w:rPr>
        <w:t>4</w:t>
      </w:r>
      <w:r w:rsidR="00850A51">
        <w:rPr>
          <w:rFonts w:ascii="Calibri" w:hAnsi="Calibri"/>
        </w:rPr>
        <w:t xml:space="preserve"> under</w:t>
      </w:r>
      <w:r w:rsidR="00850A51" w:rsidRPr="00C549CE">
        <w:rPr>
          <w:rFonts w:ascii="Calibri" w:hAnsi="Calibri"/>
          <w:sz w:val="21"/>
          <w:szCs w:val="21"/>
          <w:lang w:val="en-NZ"/>
        </w:rPr>
        <w:t xml:space="preserve"> </w:t>
      </w:r>
      <w:r w:rsidR="00850A51" w:rsidRPr="0027512B">
        <w:rPr>
          <w:rFonts w:ascii="Calibri" w:hAnsi="Calibri"/>
          <w:lang w:val="en-NZ"/>
        </w:rPr>
        <w:t>Administration Support Staff Remuneration</w:t>
      </w:r>
      <w:r w:rsidRPr="0027512B">
        <w:rPr>
          <w:rFonts w:ascii="Calibri" w:hAnsi="Calibri"/>
        </w:rPr>
        <w:t>. Commencing</w:t>
      </w:r>
      <w:r w:rsidRPr="00363DD1">
        <w:rPr>
          <w:rFonts w:ascii="Calibri" w:hAnsi="Calibri"/>
        </w:rPr>
        <w:t xml:space="preserve"> pay rate will depend on qualifications and experience.</w:t>
      </w:r>
    </w:p>
    <w:p w14:paraId="3736FE23" w14:textId="53C046E0" w:rsidR="00470FC5" w:rsidRDefault="00470FC5" w:rsidP="00413908">
      <w:pPr>
        <w:pStyle w:val="BodyText"/>
        <w:tabs>
          <w:tab w:val="left" w:pos="567"/>
        </w:tabs>
        <w:spacing w:after="0"/>
        <w:ind w:left="284"/>
        <w:rPr>
          <w:rFonts w:ascii="Calibri" w:hAnsi="Calibri"/>
        </w:rPr>
      </w:pPr>
    </w:p>
    <w:p w14:paraId="738C4D5A" w14:textId="668E600F" w:rsidR="00470FC5" w:rsidRPr="00DD78EC" w:rsidRDefault="00470FC5" w:rsidP="00DD78EC">
      <w:pPr>
        <w:rPr>
          <w:rFonts w:ascii="Calibri" w:eastAsia="Times New Roman" w:hAnsi="Calibri" w:cs="Times New Roman"/>
          <w:sz w:val="20"/>
          <w:szCs w:val="20"/>
          <w:lang w:val="en-AU"/>
        </w:rPr>
      </w:pPr>
    </w:p>
    <w:sectPr w:rsidR="00470FC5" w:rsidRPr="00DD78EC" w:rsidSect="008D4ED6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EE5D" w14:textId="77777777" w:rsidR="007A3DEF" w:rsidRDefault="007A3DEF" w:rsidP="00906F3C">
      <w:pPr>
        <w:spacing w:after="0" w:line="240" w:lineRule="auto"/>
      </w:pPr>
      <w:r>
        <w:separator/>
      </w:r>
    </w:p>
  </w:endnote>
  <w:endnote w:type="continuationSeparator" w:id="0">
    <w:p w14:paraId="3E5C1336" w14:textId="77777777" w:rsidR="007A3DEF" w:rsidRDefault="007A3DEF" w:rsidP="0090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1EFD" w14:textId="77777777" w:rsidR="007A3DEF" w:rsidRDefault="007A3DEF" w:rsidP="00906F3C">
      <w:pPr>
        <w:spacing w:after="0" w:line="240" w:lineRule="auto"/>
      </w:pPr>
      <w:r>
        <w:separator/>
      </w:r>
    </w:p>
  </w:footnote>
  <w:footnote w:type="continuationSeparator" w:id="0">
    <w:p w14:paraId="2A60A559" w14:textId="77777777" w:rsidR="007A3DEF" w:rsidRDefault="007A3DEF" w:rsidP="00906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CB8"/>
    <w:multiLevelType w:val="hybridMultilevel"/>
    <w:tmpl w:val="37AC16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43F8"/>
    <w:multiLevelType w:val="hybridMultilevel"/>
    <w:tmpl w:val="7FB81F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02E14"/>
    <w:multiLevelType w:val="hybridMultilevel"/>
    <w:tmpl w:val="EA2081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40BA"/>
    <w:multiLevelType w:val="hybridMultilevel"/>
    <w:tmpl w:val="BEBCB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A61D3"/>
    <w:multiLevelType w:val="hybridMultilevel"/>
    <w:tmpl w:val="4A9EDC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2201B"/>
    <w:multiLevelType w:val="hybridMultilevel"/>
    <w:tmpl w:val="E0E2E4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8104C"/>
    <w:multiLevelType w:val="hybridMultilevel"/>
    <w:tmpl w:val="D794DEDC"/>
    <w:lvl w:ilvl="0" w:tplc="1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37516377"/>
    <w:multiLevelType w:val="hybridMultilevel"/>
    <w:tmpl w:val="E99EDE0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DC0"/>
    <w:multiLevelType w:val="hybridMultilevel"/>
    <w:tmpl w:val="A3BAC1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73112"/>
    <w:multiLevelType w:val="hybridMultilevel"/>
    <w:tmpl w:val="8C38E5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9470D"/>
    <w:multiLevelType w:val="hybridMultilevel"/>
    <w:tmpl w:val="FCE6B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827DD"/>
    <w:multiLevelType w:val="hybridMultilevel"/>
    <w:tmpl w:val="1546636C"/>
    <w:lvl w:ilvl="0" w:tplc="F17499E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40044"/>
    <w:multiLevelType w:val="hybridMultilevel"/>
    <w:tmpl w:val="D494E2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1586A"/>
    <w:multiLevelType w:val="hybridMultilevel"/>
    <w:tmpl w:val="235025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7065">
    <w:abstractNumId w:val="9"/>
  </w:num>
  <w:num w:numId="2" w16cid:durableId="2063019619">
    <w:abstractNumId w:val="3"/>
  </w:num>
  <w:num w:numId="3" w16cid:durableId="425467644">
    <w:abstractNumId w:val="13"/>
  </w:num>
  <w:num w:numId="4" w16cid:durableId="2057510033">
    <w:abstractNumId w:val="2"/>
  </w:num>
  <w:num w:numId="5" w16cid:durableId="1434009384">
    <w:abstractNumId w:val="11"/>
  </w:num>
  <w:num w:numId="6" w16cid:durableId="1522667493">
    <w:abstractNumId w:val="5"/>
  </w:num>
  <w:num w:numId="7" w16cid:durableId="1157921759">
    <w:abstractNumId w:val="4"/>
  </w:num>
  <w:num w:numId="8" w16cid:durableId="284316445">
    <w:abstractNumId w:val="1"/>
  </w:num>
  <w:num w:numId="9" w16cid:durableId="1277442392">
    <w:abstractNumId w:val="8"/>
  </w:num>
  <w:num w:numId="10" w16cid:durableId="917519088">
    <w:abstractNumId w:val="12"/>
  </w:num>
  <w:num w:numId="11" w16cid:durableId="1912344322">
    <w:abstractNumId w:val="6"/>
  </w:num>
  <w:num w:numId="12" w16cid:durableId="514542158">
    <w:abstractNumId w:val="0"/>
  </w:num>
  <w:num w:numId="13" w16cid:durableId="1916625746">
    <w:abstractNumId w:val="10"/>
  </w:num>
  <w:num w:numId="14" w16cid:durableId="1427269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18"/>
    <w:rsid w:val="0001641D"/>
    <w:rsid w:val="000677DE"/>
    <w:rsid w:val="00073B08"/>
    <w:rsid w:val="000A2120"/>
    <w:rsid w:val="000A5AAA"/>
    <w:rsid w:val="000B2170"/>
    <w:rsid w:val="000D25F9"/>
    <w:rsid w:val="00123A9A"/>
    <w:rsid w:val="00174EAA"/>
    <w:rsid w:val="00176261"/>
    <w:rsid w:val="001855EB"/>
    <w:rsid w:val="001A3970"/>
    <w:rsid w:val="001F4176"/>
    <w:rsid w:val="00207980"/>
    <w:rsid w:val="00215FA9"/>
    <w:rsid w:val="0022015D"/>
    <w:rsid w:val="002408E9"/>
    <w:rsid w:val="00245338"/>
    <w:rsid w:val="0027512B"/>
    <w:rsid w:val="002F2A15"/>
    <w:rsid w:val="00305BE6"/>
    <w:rsid w:val="00351CBE"/>
    <w:rsid w:val="00363601"/>
    <w:rsid w:val="00363DD1"/>
    <w:rsid w:val="00364F8C"/>
    <w:rsid w:val="00397F03"/>
    <w:rsid w:val="003B0098"/>
    <w:rsid w:val="003B43D8"/>
    <w:rsid w:val="00413908"/>
    <w:rsid w:val="00470FC5"/>
    <w:rsid w:val="004743CF"/>
    <w:rsid w:val="004A10DF"/>
    <w:rsid w:val="004C6F54"/>
    <w:rsid w:val="004D59B3"/>
    <w:rsid w:val="00556363"/>
    <w:rsid w:val="00574359"/>
    <w:rsid w:val="005D7CE2"/>
    <w:rsid w:val="0065066E"/>
    <w:rsid w:val="006730F4"/>
    <w:rsid w:val="0072274F"/>
    <w:rsid w:val="00726515"/>
    <w:rsid w:val="007627F5"/>
    <w:rsid w:val="00775BB5"/>
    <w:rsid w:val="007A3DEF"/>
    <w:rsid w:val="007C19C4"/>
    <w:rsid w:val="007E4BB9"/>
    <w:rsid w:val="00827118"/>
    <w:rsid w:val="00850A51"/>
    <w:rsid w:val="00857AE6"/>
    <w:rsid w:val="008840CD"/>
    <w:rsid w:val="008C345A"/>
    <w:rsid w:val="008D4ED6"/>
    <w:rsid w:val="008E1889"/>
    <w:rsid w:val="008F443D"/>
    <w:rsid w:val="00906F3C"/>
    <w:rsid w:val="00915BC9"/>
    <w:rsid w:val="009641B5"/>
    <w:rsid w:val="0098645E"/>
    <w:rsid w:val="009C1361"/>
    <w:rsid w:val="009E7D21"/>
    <w:rsid w:val="00A041EB"/>
    <w:rsid w:val="00A16919"/>
    <w:rsid w:val="00A24094"/>
    <w:rsid w:val="00A25C0E"/>
    <w:rsid w:val="00B02D59"/>
    <w:rsid w:val="00B51354"/>
    <w:rsid w:val="00B61116"/>
    <w:rsid w:val="00B9275D"/>
    <w:rsid w:val="00BD72A8"/>
    <w:rsid w:val="00BE6B5C"/>
    <w:rsid w:val="00BF57D2"/>
    <w:rsid w:val="00C833B2"/>
    <w:rsid w:val="00CA353F"/>
    <w:rsid w:val="00CC675A"/>
    <w:rsid w:val="00CE44D6"/>
    <w:rsid w:val="00CF6F31"/>
    <w:rsid w:val="00CF7B57"/>
    <w:rsid w:val="00D41178"/>
    <w:rsid w:val="00D43F73"/>
    <w:rsid w:val="00DA3355"/>
    <w:rsid w:val="00DA5FE4"/>
    <w:rsid w:val="00DD78EC"/>
    <w:rsid w:val="00DE667F"/>
    <w:rsid w:val="00E16A5E"/>
    <w:rsid w:val="00E252E6"/>
    <w:rsid w:val="00E73089"/>
    <w:rsid w:val="00EC1CF4"/>
    <w:rsid w:val="00EF0FD5"/>
    <w:rsid w:val="00F17F26"/>
    <w:rsid w:val="00F54D02"/>
    <w:rsid w:val="00F7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82F6E"/>
  <w15:docId w15:val="{9556F888-C06C-4E89-AF0D-54CDD346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118"/>
    <w:pPr>
      <w:ind w:left="720"/>
      <w:contextualSpacing/>
    </w:pPr>
  </w:style>
  <w:style w:type="table" w:styleId="TableGrid">
    <w:name w:val="Table Grid"/>
    <w:basedOn w:val="TableNormal"/>
    <w:uiPriority w:val="59"/>
    <w:rsid w:val="00245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06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F3C"/>
  </w:style>
  <w:style w:type="paragraph" w:styleId="Footer">
    <w:name w:val="footer"/>
    <w:basedOn w:val="Normal"/>
    <w:link w:val="FooterChar"/>
    <w:uiPriority w:val="99"/>
    <w:semiHidden/>
    <w:unhideWhenUsed/>
    <w:rsid w:val="00906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6F3C"/>
  </w:style>
  <w:style w:type="paragraph" w:styleId="BalloonText">
    <w:name w:val="Balloon Text"/>
    <w:basedOn w:val="Normal"/>
    <w:link w:val="BalloonTextChar"/>
    <w:uiPriority w:val="99"/>
    <w:semiHidden/>
    <w:unhideWhenUsed/>
    <w:rsid w:val="001A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7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63DD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363DD1"/>
    <w:rPr>
      <w:rFonts w:ascii="Arial" w:eastAsia="Times New Roman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C2EB-5515-4657-9A28-260D29A6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513</Words>
  <Characters>3010</Characters>
  <Application>Microsoft Office Word</Application>
  <DocSecurity>0</DocSecurity>
  <Lines>91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Cashmere High School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TLP</dc:creator>
  <cp:lastModifiedBy>Emily Palamountain</cp:lastModifiedBy>
  <cp:revision>20</cp:revision>
  <cp:lastPrinted>2013-12-17T01:17:00Z</cp:lastPrinted>
  <dcterms:created xsi:type="dcterms:W3CDTF">2026-02-03T21:14:00Z</dcterms:created>
  <dcterms:modified xsi:type="dcterms:W3CDTF">2026-02-09T02:06:00Z</dcterms:modified>
</cp:coreProperties>
</file>